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William Davis II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Norton Rose Fulbright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Houston, TX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Recognized for expertise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Specific expertise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Years of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Recognized for expertise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Specific expertise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Years of experience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No evidence of leadership discovered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Lack of book growth compared to peers (last five years)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Supports but may not lead deals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No evidence of leadership discovered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Lack of book growth compared to peers (last five years)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Supports but may not lead deals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